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37EDC" w:rsidRDefault="00C37EDC" w:rsidP="00C37EDC">
      <w:pPr>
        <w:pStyle w:val="Titolo1"/>
        <w:rPr>
          <w:rFonts w:eastAsia="Times New Roman"/>
          <w:b/>
          <w:bCs/>
          <w:color w:val="auto"/>
          <w:sz w:val="28"/>
          <w:szCs w:val="28"/>
          <w:lang w:eastAsia="it-IT"/>
        </w:rPr>
      </w:pPr>
      <w:r w:rsidRPr="00C37EDC">
        <w:rPr>
          <w:rFonts w:eastAsia="Times New Roman"/>
          <w:b/>
          <w:bCs/>
          <w:color w:val="auto"/>
          <w:sz w:val="28"/>
          <w:szCs w:val="28"/>
          <w:lang w:eastAsia="it-IT"/>
        </w:rPr>
        <w:t>Modulistica Edilizia</w:t>
      </w:r>
    </w:p>
    <w:p w:rsidR="00C37EDC" w:rsidRPr="00C37EDC" w:rsidRDefault="00C37EDC" w:rsidP="00C37EDC">
      <w:pPr>
        <w:rPr>
          <w:lang w:eastAsia="it-IT"/>
        </w:rPr>
      </w:pPr>
    </w:p>
    <w:p w:rsidR="00C37EDC" w:rsidRDefault="00C37EDC" w:rsidP="00C37EDC">
      <w:pPr>
        <w:shd w:val="clear" w:color="auto" w:fill="FFFFFF"/>
        <w:spacing w:after="210"/>
        <w:rPr>
          <w:rFonts w:ascii="Titillium Web" w:eastAsia="Times New Roman" w:hAnsi="Titillium Web" w:cs="Times New Roman"/>
          <w:color w:val="1C2024"/>
          <w:kern w:val="0"/>
          <w:sz w:val="20"/>
          <w:szCs w:val="20"/>
          <w:lang w:eastAsia="it-IT"/>
          <w14:ligatures w14:val="none"/>
        </w:rPr>
      </w:pPr>
      <w:r w:rsidRPr="00C37EDC">
        <w:rPr>
          <w:rFonts w:ascii="Titillium Web" w:eastAsia="Times New Roman" w:hAnsi="Titillium Web" w:cs="Times New Roman"/>
          <w:color w:val="1C2024"/>
          <w:kern w:val="0"/>
          <w:sz w:val="20"/>
          <w:szCs w:val="20"/>
          <w:lang w:eastAsia="it-IT"/>
          <w14:ligatures w14:val="none"/>
        </w:rPr>
        <w:t>Con Delibera Giunta Regionale 28 giugno 2017 n. 922, la Regione Emilia Romagna ha provveduto ad aggiornare la modulistica edilizia unificata di cui all'atto di coordinamento assunto con delibera regionale n. 993/2014 e di cui ai successivi aggiornamenti, adeguandola agli omologhi moduli unificati e standardizzati definiti nell'ambito dell'Accordo in Conferenza Unificata del 4 maggio 2017.</w:t>
      </w:r>
      <w:r w:rsidRPr="00C37EDC">
        <w:rPr>
          <w:rFonts w:ascii="Titillium Web" w:eastAsia="Times New Roman" w:hAnsi="Titillium Web" w:cs="Times New Roman"/>
          <w:color w:val="1C2024"/>
          <w:kern w:val="0"/>
          <w:sz w:val="20"/>
          <w:szCs w:val="20"/>
          <w:lang w:eastAsia="it-IT"/>
          <w14:ligatures w14:val="none"/>
        </w:rPr>
        <w:br/>
        <w:t>I NUOVI MODELLI sono scaricabili dal sito regionale al seguente LINK:</w:t>
      </w:r>
    </w:p>
    <w:p w:rsidR="00C37EDC" w:rsidRDefault="00C37EDC" w:rsidP="00C37EDC">
      <w:pPr>
        <w:shd w:val="clear" w:color="auto" w:fill="FFFFFF"/>
        <w:spacing w:after="210"/>
        <w:rPr>
          <w:rFonts w:ascii="Titillium Web" w:eastAsia="Times New Roman" w:hAnsi="Titillium Web" w:cs="Times New Roman"/>
          <w:color w:val="1C2024"/>
          <w:kern w:val="0"/>
          <w:sz w:val="29"/>
          <w:szCs w:val="29"/>
          <w:lang w:eastAsia="it-IT"/>
          <w14:ligatures w14:val="none"/>
        </w:rPr>
      </w:pPr>
      <w:r w:rsidRPr="00C37EDC">
        <w:rPr>
          <w:rFonts w:ascii="Titillium Web" w:eastAsia="Times New Roman" w:hAnsi="Titillium Web" w:cs="Times New Roman"/>
          <w:color w:val="1C2024"/>
          <w:kern w:val="0"/>
          <w:sz w:val="20"/>
          <w:szCs w:val="20"/>
          <w:lang w:eastAsia="it-IT"/>
          <w14:ligatures w14:val="none"/>
        </w:rPr>
        <w:br/>
      </w:r>
      <w:hyperlink r:id="rId4" w:tgtFrame="_blank" w:tooltip="Modulistica-unificata-regionale" w:history="1">
        <w:r w:rsidRPr="00C37EDC">
          <w:rPr>
            <w:rFonts w:ascii="Titillium Web" w:eastAsia="Times New Roman" w:hAnsi="Titillium Web" w:cs="Times New Roman"/>
            <w:color w:val="FF0000"/>
            <w:kern w:val="0"/>
            <w:sz w:val="29"/>
            <w:szCs w:val="29"/>
            <w:u w:val="single"/>
            <w:lang w:eastAsia="it-IT"/>
            <w14:ligatures w14:val="none"/>
          </w:rPr>
          <w:t>Modulistica-unifica</w:t>
        </w:r>
        <w:r w:rsidRPr="00C37EDC">
          <w:rPr>
            <w:rFonts w:ascii="Titillium Web" w:eastAsia="Times New Roman" w:hAnsi="Titillium Web" w:cs="Times New Roman"/>
            <w:color w:val="FF0000"/>
            <w:kern w:val="0"/>
            <w:sz w:val="29"/>
            <w:szCs w:val="29"/>
            <w:u w:val="single"/>
            <w:lang w:eastAsia="it-IT"/>
            <w14:ligatures w14:val="none"/>
          </w:rPr>
          <w:t>t</w:t>
        </w:r>
        <w:r w:rsidRPr="00C37EDC">
          <w:rPr>
            <w:rFonts w:ascii="Titillium Web" w:eastAsia="Times New Roman" w:hAnsi="Titillium Web" w:cs="Times New Roman"/>
            <w:color w:val="FF0000"/>
            <w:kern w:val="0"/>
            <w:sz w:val="29"/>
            <w:szCs w:val="29"/>
            <w:u w:val="single"/>
            <w:lang w:eastAsia="it-IT"/>
            <w14:ligatures w14:val="none"/>
          </w:rPr>
          <w:t>a-regionale</w:t>
        </w:r>
      </w:hyperlink>
    </w:p>
    <w:p w:rsidR="00C37EDC" w:rsidRDefault="00C37EDC" w:rsidP="00C37EDC">
      <w:pPr>
        <w:shd w:val="clear" w:color="auto" w:fill="FFFFFF"/>
        <w:spacing w:after="210"/>
        <w:rPr>
          <w:rFonts w:ascii="Titillium Web" w:eastAsia="Times New Roman" w:hAnsi="Titillium Web" w:cs="Times New Roman"/>
          <w:color w:val="1C2024"/>
          <w:kern w:val="0"/>
          <w:sz w:val="20"/>
          <w:szCs w:val="20"/>
          <w:lang w:eastAsia="it-IT"/>
          <w14:ligatures w14:val="none"/>
        </w:rPr>
      </w:pPr>
      <w:r w:rsidRPr="00C37EDC">
        <w:rPr>
          <w:rFonts w:ascii="Titillium Web" w:eastAsia="Times New Roman" w:hAnsi="Titillium Web" w:cs="Times New Roman"/>
          <w:color w:val="1C2024"/>
          <w:kern w:val="0"/>
          <w:sz w:val="29"/>
          <w:szCs w:val="29"/>
          <w:lang w:eastAsia="it-IT"/>
          <w14:ligatures w14:val="none"/>
        </w:rPr>
        <w:br/>
      </w:r>
      <w:r w:rsidRPr="00C37EDC">
        <w:rPr>
          <w:rFonts w:ascii="Titillium Web" w:eastAsia="Times New Roman" w:hAnsi="Titillium Web" w:cs="Times New Roman"/>
          <w:color w:val="1C2024"/>
          <w:kern w:val="0"/>
          <w:sz w:val="20"/>
          <w:szCs w:val="20"/>
          <w:lang w:eastAsia="it-IT"/>
          <w14:ligatures w14:val="none"/>
        </w:rPr>
        <w:t>e dovranno essere utilizzati da tutti i tecnici.</w:t>
      </w:r>
    </w:p>
    <w:p w:rsidR="00C37EDC" w:rsidRPr="00C37EDC" w:rsidRDefault="00C37EDC" w:rsidP="00C37EDC">
      <w:pPr>
        <w:shd w:val="clear" w:color="auto" w:fill="FFFFFF"/>
        <w:spacing w:after="210"/>
        <w:rPr>
          <w:rFonts w:ascii="Titillium Web" w:eastAsia="Times New Roman" w:hAnsi="Titillium Web" w:cs="Times New Roman"/>
          <w:color w:val="1C2024"/>
          <w:kern w:val="0"/>
          <w:sz w:val="20"/>
          <w:szCs w:val="20"/>
          <w:lang w:eastAsia="it-IT"/>
          <w14:ligatures w14:val="none"/>
        </w:rPr>
      </w:pPr>
    </w:p>
    <w:p w:rsidR="001B4456" w:rsidRPr="00C37EDC" w:rsidRDefault="001B4456">
      <w:pPr>
        <w:rPr>
          <w:sz w:val="20"/>
          <w:szCs w:val="20"/>
        </w:rPr>
      </w:pPr>
    </w:p>
    <w:sectPr w:rsidR="001B4456" w:rsidRPr="00C37ED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tillium Web">
    <w:panose1 w:val="00000500000000000000"/>
    <w:charset w:val="4D"/>
    <w:family w:val="auto"/>
    <w:pitch w:val="variable"/>
    <w:sig w:usb0="00000007" w:usb1="00000001" w:usb2="00000000" w:usb3="00000000" w:csb0="00000093"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7EDC"/>
    <w:rsid w:val="001B4456"/>
    <w:rsid w:val="00C37ED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11276FBC"/>
  <w15:chartTrackingRefBased/>
  <w15:docId w15:val="{A2E56413-3750-A445-9B4A-4F346B30D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C37EDC"/>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C37EDC"/>
    <w:pPr>
      <w:spacing w:before="100" w:beforeAutospacing="1" w:after="100" w:afterAutospacing="1"/>
    </w:pPr>
    <w:rPr>
      <w:rFonts w:ascii="Times New Roman" w:eastAsia="Times New Roman" w:hAnsi="Times New Roman" w:cs="Times New Roman"/>
      <w:kern w:val="0"/>
      <w:lang w:eastAsia="it-IT"/>
      <w14:ligatures w14:val="none"/>
    </w:rPr>
  </w:style>
  <w:style w:type="character" w:styleId="Collegamentoipertestuale">
    <w:name w:val="Hyperlink"/>
    <w:basedOn w:val="Carpredefinitoparagrafo"/>
    <w:uiPriority w:val="99"/>
    <w:semiHidden/>
    <w:unhideWhenUsed/>
    <w:rsid w:val="00C37EDC"/>
    <w:rPr>
      <w:color w:val="0000FF"/>
      <w:u w:val="single"/>
    </w:rPr>
  </w:style>
  <w:style w:type="character" w:customStyle="1" w:styleId="Titolo1Carattere">
    <w:name w:val="Titolo 1 Carattere"/>
    <w:basedOn w:val="Carpredefinitoparagrafo"/>
    <w:link w:val="Titolo1"/>
    <w:uiPriority w:val="9"/>
    <w:rsid w:val="00C37EDC"/>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9468212">
      <w:bodyDiv w:val="1"/>
      <w:marLeft w:val="0"/>
      <w:marRight w:val="0"/>
      <w:marTop w:val="0"/>
      <w:marBottom w:val="0"/>
      <w:divBdr>
        <w:top w:val="none" w:sz="0" w:space="0" w:color="auto"/>
        <w:left w:val="none" w:sz="0" w:space="0" w:color="auto"/>
        <w:bottom w:val="none" w:sz="0" w:space="0" w:color="auto"/>
        <w:right w:val="none" w:sz="0" w:space="0" w:color="auto"/>
      </w:divBdr>
      <w:divsChild>
        <w:div w:id="2063822156">
          <w:marLeft w:val="0"/>
          <w:marRight w:val="0"/>
          <w:marTop w:val="0"/>
          <w:marBottom w:val="0"/>
          <w:divBdr>
            <w:top w:val="single" w:sz="6" w:space="4" w:color="CCCCCC"/>
            <w:left w:val="single" w:sz="6" w:space="8" w:color="CCCCCC"/>
            <w:bottom w:val="single" w:sz="6" w:space="4" w:color="CCCCCC"/>
            <w:right w:val="single" w:sz="6" w:space="8" w:color="CCCCCC"/>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territorio.regione.emilia-romagna.it/codice-territorio/semplificazione-edilizia/modulistica-unificata-regional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112</Words>
  <Characters>640</Characters>
  <Application>Microsoft Office Word</Application>
  <DocSecurity>0</DocSecurity>
  <Lines>5</Lines>
  <Paragraphs>1</Paragraphs>
  <ScaleCrop>false</ScaleCrop>
  <Company/>
  <LinksUpToDate>false</LinksUpToDate>
  <CharactersWithSpaces>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 Sampieri</dc:creator>
  <cp:keywords/>
  <dc:description/>
  <cp:lastModifiedBy>Giuseppe Sampieri</cp:lastModifiedBy>
  <cp:revision>1</cp:revision>
  <dcterms:created xsi:type="dcterms:W3CDTF">2023-06-26T09:08:00Z</dcterms:created>
  <dcterms:modified xsi:type="dcterms:W3CDTF">2023-06-26T09:10:00Z</dcterms:modified>
</cp:coreProperties>
</file>